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DFB" w:rsidRPr="007C59C4" w:rsidRDefault="009A2BF5" w:rsidP="00261DFB">
      <w:pPr>
        <w:pStyle w:val="Title"/>
        <w:rPr>
          <w:sz w:val="22"/>
          <w:szCs w:val="22"/>
          <w:u w:val="single"/>
        </w:rPr>
      </w:pPr>
      <w:bookmarkStart w:id="0" w:name="_GoBack"/>
      <w:bookmarkEnd w:id="0"/>
      <w:r>
        <w:rPr>
          <w:sz w:val="22"/>
          <w:szCs w:val="22"/>
          <w:u w:val="single"/>
        </w:rPr>
        <w:t>Response to ADA Compliance Complaint</w:t>
      </w:r>
    </w:p>
    <w:p w:rsidR="00261DFB" w:rsidRPr="007C59C4" w:rsidRDefault="00261DFB" w:rsidP="00261DFB">
      <w:pPr>
        <w:rPr>
          <w:sz w:val="22"/>
          <w:szCs w:val="22"/>
        </w:rPr>
      </w:pPr>
    </w:p>
    <w:p w:rsidR="009A2BF5" w:rsidRPr="009A2BF5" w:rsidRDefault="009A2BF5" w:rsidP="00261DFB">
      <w:pPr>
        <w:rPr>
          <w:sz w:val="22"/>
          <w:szCs w:val="22"/>
        </w:rPr>
      </w:pPr>
      <w:r>
        <w:rPr>
          <w:b/>
          <w:sz w:val="22"/>
          <w:szCs w:val="22"/>
        </w:rPr>
        <w:t>Complaint Date:</w:t>
      </w:r>
      <w:r>
        <w:rPr>
          <w:b/>
          <w:sz w:val="22"/>
          <w:szCs w:val="22"/>
        </w:rPr>
        <w:tab/>
      </w:r>
      <w:r>
        <w:rPr>
          <w:sz w:val="22"/>
          <w:szCs w:val="22"/>
        </w:rPr>
        <w:t>May 25, 2016</w:t>
      </w:r>
    </w:p>
    <w:p w:rsidR="00261DFB" w:rsidRPr="003C080D" w:rsidRDefault="009A2BF5" w:rsidP="00261DFB">
      <w:pPr>
        <w:rPr>
          <w:sz w:val="22"/>
          <w:szCs w:val="22"/>
        </w:rPr>
      </w:pPr>
      <w:r>
        <w:rPr>
          <w:b/>
          <w:sz w:val="22"/>
          <w:szCs w:val="22"/>
        </w:rPr>
        <w:t xml:space="preserve">Response </w:t>
      </w:r>
      <w:r w:rsidR="00261DFB" w:rsidRPr="003C080D">
        <w:rPr>
          <w:b/>
          <w:sz w:val="22"/>
          <w:szCs w:val="22"/>
        </w:rPr>
        <w:t>Date</w:t>
      </w:r>
      <w:r w:rsidR="00261DFB" w:rsidRPr="003C080D">
        <w:rPr>
          <w:sz w:val="22"/>
          <w:szCs w:val="22"/>
        </w:rPr>
        <w:t>:</w:t>
      </w:r>
      <w:r w:rsidR="00261DFB" w:rsidRPr="003C080D">
        <w:rPr>
          <w:sz w:val="22"/>
          <w:szCs w:val="22"/>
        </w:rPr>
        <w:tab/>
      </w:r>
      <w:r>
        <w:rPr>
          <w:sz w:val="22"/>
          <w:szCs w:val="22"/>
        </w:rPr>
        <w:tab/>
        <w:t>July 1, 2016 (Includes one-week extension)</w:t>
      </w:r>
    </w:p>
    <w:p w:rsidR="00261DFB" w:rsidRPr="003C080D" w:rsidRDefault="009A2BF5" w:rsidP="00261DFB">
      <w:pPr>
        <w:rPr>
          <w:sz w:val="22"/>
          <w:szCs w:val="22"/>
        </w:rPr>
      </w:pPr>
      <w:r>
        <w:rPr>
          <w:b/>
          <w:sz w:val="22"/>
          <w:szCs w:val="22"/>
        </w:rPr>
        <w:t>Complainant</w:t>
      </w:r>
      <w:r w:rsidR="00261DFB" w:rsidRPr="003C080D">
        <w:rPr>
          <w:sz w:val="22"/>
          <w:szCs w:val="22"/>
        </w:rPr>
        <w:t>:</w:t>
      </w:r>
      <w:r w:rsidR="00261DFB" w:rsidRPr="003C080D">
        <w:rPr>
          <w:sz w:val="22"/>
          <w:szCs w:val="22"/>
        </w:rPr>
        <w:tab/>
      </w:r>
      <w:r w:rsidR="00261DFB" w:rsidRPr="003C080D">
        <w:rPr>
          <w:sz w:val="22"/>
          <w:szCs w:val="22"/>
        </w:rPr>
        <w:tab/>
      </w:r>
    </w:p>
    <w:p w:rsidR="009934CB" w:rsidRPr="003C080D" w:rsidRDefault="009934CB" w:rsidP="00261DFB">
      <w:pPr>
        <w:rPr>
          <w:b/>
          <w:sz w:val="22"/>
          <w:szCs w:val="22"/>
        </w:rPr>
      </w:pPr>
    </w:p>
    <w:p w:rsidR="00DC13E5" w:rsidRDefault="009A2BF5" w:rsidP="00B4779C">
      <w:pPr>
        <w:pStyle w:val="BodyText"/>
        <w:rPr>
          <w:b w:val="0"/>
          <w:bCs w:val="0"/>
          <w:sz w:val="22"/>
          <w:szCs w:val="22"/>
        </w:rPr>
      </w:pPr>
      <w:r>
        <w:rPr>
          <w:b w:val="0"/>
          <w:bCs w:val="0"/>
          <w:sz w:val="22"/>
          <w:szCs w:val="22"/>
        </w:rPr>
        <w:t>Following careful review and deliberation, th</w:t>
      </w:r>
      <w:r w:rsidR="00637B23">
        <w:rPr>
          <w:b w:val="0"/>
          <w:bCs w:val="0"/>
          <w:sz w:val="22"/>
          <w:szCs w:val="22"/>
        </w:rPr>
        <w:t>e</w:t>
      </w:r>
      <w:r>
        <w:rPr>
          <w:b w:val="0"/>
          <w:bCs w:val="0"/>
          <w:sz w:val="22"/>
          <w:szCs w:val="22"/>
        </w:rPr>
        <w:t xml:space="preserve"> ADA Compliance Officer has found no physical evidence of deliberate discrimination (no emails or written correspondence indicative of discrimination). </w:t>
      </w:r>
      <w:r w:rsidR="00327648">
        <w:rPr>
          <w:b w:val="0"/>
          <w:bCs w:val="0"/>
          <w:sz w:val="22"/>
          <w:szCs w:val="22"/>
        </w:rPr>
        <w:t>Interviews with the complainant, his parents, professors, and coaches offer perceptual rational</w:t>
      </w:r>
      <w:r w:rsidR="00637B23">
        <w:rPr>
          <w:b w:val="0"/>
          <w:bCs w:val="0"/>
          <w:sz w:val="22"/>
          <w:szCs w:val="22"/>
        </w:rPr>
        <w:t>e</w:t>
      </w:r>
      <w:r w:rsidR="00327648">
        <w:rPr>
          <w:b w:val="0"/>
          <w:bCs w:val="0"/>
          <w:sz w:val="22"/>
          <w:szCs w:val="22"/>
        </w:rPr>
        <w:t xml:space="preserve"> for numerous misunderstandings and miscommunication. Physical evidence is present supporting the complainant’s claim that once his disability was regulated with prescribed medication (</w:t>
      </w:r>
      <w:r w:rsidR="002A05CF">
        <w:rPr>
          <w:b w:val="0"/>
          <w:bCs w:val="0"/>
          <w:sz w:val="22"/>
          <w:szCs w:val="22"/>
        </w:rPr>
        <w:t>Rx), around mid-March</w:t>
      </w:r>
      <w:r w:rsidR="00327648">
        <w:rPr>
          <w:b w:val="0"/>
          <w:bCs w:val="0"/>
          <w:sz w:val="22"/>
          <w:szCs w:val="22"/>
        </w:rPr>
        <w:t xml:space="preserve">, his performance in all classes noticeably improved. Because of these factors, </w:t>
      </w:r>
      <w:r w:rsidR="00DC13E5">
        <w:rPr>
          <w:b w:val="0"/>
          <w:bCs w:val="0"/>
          <w:sz w:val="22"/>
          <w:szCs w:val="22"/>
        </w:rPr>
        <w:t>relevant personnel agreed to the need for alternative options for resolution. The following resolutions were provided, allowing the student to receive a grade, which he earned, with no penalty for late submission:</w:t>
      </w:r>
    </w:p>
    <w:p w:rsidR="00DC13E5" w:rsidRDefault="00DC13E5" w:rsidP="00B4779C">
      <w:pPr>
        <w:pStyle w:val="BodyText"/>
        <w:rPr>
          <w:b w:val="0"/>
          <w:bCs w:val="0"/>
          <w:sz w:val="22"/>
          <w:szCs w:val="22"/>
        </w:rPr>
      </w:pPr>
    </w:p>
    <w:p w:rsidR="00DC13E5" w:rsidRDefault="00DC13E5" w:rsidP="00DC13E5">
      <w:pPr>
        <w:pStyle w:val="BodyText"/>
        <w:numPr>
          <w:ilvl w:val="0"/>
          <w:numId w:val="4"/>
        </w:numPr>
        <w:rPr>
          <w:b w:val="0"/>
          <w:bCs w:val="0"/>
          <w:sz w:val="22"/>
          <w:szCs w:val="22"/>
        </w:rPr>
      </w:pPr>
      <w:r>
        <w:rPr>
          <w:b w:val="0"/>
          <w:bCs w:val="0"/>
          <w:sz w:val="22"/>
          <w:szCs w:val="22"/>
        </w:rPr>
        <w:t xml:space="preserve">SOCL302 – All students had an opportunity to edit and </w:t>
      </w:r>
      <w:r w:rsidR="002A05CF">
        <w:rPr>
          <w:b w:val="0"/>
          <w:bCs w:val="0"/>
          <w:sz w:val="22"/>
          <w:szCs w:val="22"/>
        </w:rPr>
        <w:t>resubmit a 10-page paper. Pre-Rx</w:t>
      </w:r>
      <w:r>
        <w:rPr>
          <w:b w:val="0"/>
          <w:bCs w:val="0"/>
          <w:sz w:val="22"/>
          <w:szCs w:val="22"/>
        </w:rPr>
        <w:t xml:space="preserve"> regulation, the complainant </w:t>
      </w:r>
      <w:r w:rsidR="002A05CF">
        <w:rPr>
          <w:b w:val="0"/>
          <w:bCs w:val="0"/>
          <w:sz w:val="22"/>
          <w:szCs w:val="22"/>
        </w:rPr>
        <w:t xml:space="preserve">stated he </w:t>
      </w:r>
      <w:r>
        <w:rPr>
          <w:b w:val="0"/>
          <w:bCs w:val="0"/>
          <w:sz w:val="22"/>
          <w:szCs w:val="22"/>
        </w:rPr>
        <w:t xml:space="preserve">thought he had successfully resubmitted this paper. He provided screenshot evidence (screenshot) of a creation and modification date within the appropriate time frame. </w:t>
      </w:r>
      <w:r w:rsidR="002A05CF">
        <w:rPr>
          <w:b w:val="0"/>
          <w:bCs w:val="0"/>
          <w:sz w:val="22"/>
          <w:szCs w:val="22"/>
        </w:rPr>
        <w:t>He was allowed to submit this paper and has received the revised grade</w:t>
      </w:r>
      <w:r w:rsidR="006C77AE">
        <w:rPr>
          <w:b w:val="0"/>
          <w:bCs w:val="0"/>
          <w:sz w:val="22"/>
          <w:szCs w:val="22"/>
        </w:rPr>
        <w:t xml:space="preserve"> on the paper, although it was not sufficient to raise his final grade in the course</w:t>
      </w:r>
      <w:r w:rsidR="002A05CF">
        <w:rPr>
          <w:b w:val="0"/>
          <w:bCs w:val="0"/>
          <w:sz w:val="22"/>
          <w:szCs w:val="22"/>
        </w:rPr>
        <w:t xml:space="preserve">. </w:t>
      </w:r>
    </w:p>
    <w:p w:rsidR="002A05CF" w:rsidRDefault="002A05CF" w:rsidP="002A05CF">
      <w:pPr>
        <w:pStyle w:val="BodyText"/>
        <w:numPr>
          <w:ilvl w:val="0"/>
          <w:numId w:val="4"/>
        </w:numPr>
        <w:rPr>
          <w:b w:val="0"/>
          <w:bCs w:val="0"/>
          <w:sz w:val="22"/>
          <w:szCs w:val="22"/>
        </w:rPr>
      </w:pPr>
      <w:r>
        <w:rPr>
          <w:b w:val="0"/>
          <w:bCs w:val="0"/>
          <w:sz w:val="22"/>
          <w:szCs w:val="22"/>
        </w:rPr>
        <w:t xml:space="preserve">ECON103 – Pre-Rx, the complainant missed an assignment, successful completion of which could potentially elevate the final grade to passing. </w:t>
      </w:r>
      <w:r w:rsidR="006C77AE">
        <w:rPr>
          <w:b w:val="0"/>
          <w:bCs w:val="0"/>
          <w:sz w:val="22"/>
          <w:szCs w:val="22"/>
        </w:rPr>
        <w:t>He was allowed to submit this assignment, and his final grade has been revised in the system.</w:t>
      </w:r>
    </w:p>
    <w:p w:rsidR="006C77AE" w:rsidRDefault="006C77AE" w:rsidP="006C77AE">
      <w:pPr>
        <w:pStyle w:val="BodyText"/>
        <w:numPr>
          <w:ilvl w:val="0"/>
          <w:numId w:val="4"/>
        </w:numPr>
        <w:rPr>
          <w:b w:val="0"/>
          <w:bCs w:val="0"/>
          <w:sz w:val="22"/>
          <w:szCs w:val="22"/>
        </w:rPr>
      </w:pPr>
      <w:r>
        <w:rPr>
          <w:b w:val="0"/>
          <w:bCs w:val="0"/>
          <w:sz w:val="22"/>
          <w:szCs w:val="22"/>
        </w:rPr>
        <w:t>SOCL335 – Pre-Rx, the complainant missed three assignments, successful completion of which could potentially significantly elevate the final grade. He was allowed to submit these assignments, and his final grade will soon be revised in the system.</w:t>
      </w:r>
    </w:p>
    <w:p w:rsidR="00527AD0" w:rsidRDefault="006C77AE" w:rsidP="00527AD0">
      <w:pPr>
        <w:pStyle w:val="BodyText"/>
        <w:numPr>
          <w:ilvl w:val="0"/>
          <w:numId w:val="4"/>
        </w:numPr>
        <w:rPr>
          <w:b w:val="0"/>
          <w:bCs w:val="0"/>
          <w:sz w:val="22"/>
          <w:szCs w:val="22"/>
        </w:rPr>
      </w:pPr>
      <w:r>
        <w:rPr>
          <w:b w:val="0"/>
          <w:bCs w:val="0"/>
          <w:sz w:val="22"/>
          <w:szCs w:val="22"/>
        </w:rPr>
        <w:t>HMXP102</w:t>
      </w:r>
      <w:r w:rsidR="00527AD0">
        <w:rPr>
          <w:b w:val="0"/>
          <w:bCs w:val="0"/>
          <w:sz w:val="22"/>
          <w:szCs w:val="22"/>
        </w:rPr>
        <w:t xml:space="preserve"> – Pre-Rx, the complainant stated he thought he had successfully submitted the second of four papers,</w:t>
      </w:r>
      <w:r w:rsidR="00527AD0" w:rsidRPr="00527AD0">
        <w:rPr>
          <w:b w:val="0"/>
          <w:bCs w:val="0"/>
          <w:sz w:val="22"/>
          <w:szCs w:val="22"/>
        </w:rPr>
        <w:t xml:space="preserve"> </w:t>
      </w:r>
      <w:r w:rsidR="00527AD0">
        <w:rPr>
          <w:b w:val="0"/>
          <w:bCs w:val="0"/>
          <w:sz w:val="22"/>
          <w:szCs w:val="22"/>
        </w:rPr>
        <w:t>successful completion of which could potentially elevate the final grade to passing. He was allowed to submit this assignment, and his final grade has been revised in the system.</w:t>
      </w:r>
    </w:p>
    <w:p w:rsidR="006C77AE" w:rsidRDefault="00527AD0" w:rsidP="006C77AE">
      <w:pPr>
        <w:pStyle w:val="BodyText"/>
        <w:numPr>
          <w:ilvl w:val="0"/>
          <w:numId w:val="4"/>
        </w:numPr>
        <w:rPr>
          <w:b w:val="0"/>
          <w:bCs w:val="0"/>
          <w:sz w:val="22"/>
          <w:szCs w:val="22"/>
        </w:rPr>
      </w:pPr>
      <w:r>
        <w:rPr>
          <w:b w:val="0"/>
          <w:bCs w:val="0"/>
          <w:sz w:val="22"/>
          <w:szCs w:val="22"/>
        </w:rPr>
        <w:t xml:space="preserve">The Office of Accessibility agrees to meet with the new Athletic Director, </w:t>
      </w:r>
      <w:r w:rsidR="00F00F48">
        <w:rPr>
          <w:b w:val="0"/>
          <w:bCs w:val="0"/>
          <w:sz w:val="22"/>
          <w:szCs w:val="22"/>
        </w:rPr>
        <w:t>within a month of his start date</w:t>
      </w:r>
      <w:r>
        <w:rPr>
          <w:b w:val="0"/>
          <w:bCs w:val="0"/>
          <w:sz w:val="22"/>
          <w:szCs w:val="22"/>
        </w:rPr>
        <w:t xml:space="preserve">, to discuss policies and procedures in hopes of preventing future misunderstandings. </w:t>
      </w:r>
    </w:p>
    <w:p w:rsidR="00527AD0" w:rsidRDefault="00527AD0" w:rsidP="00527AD0">
      <w:pPr>
        <w:pStyle w:val="BodyText"/>
        <w:rPr>
          <w:b w:val="0"/>
          <w:bCs w:val="0"/>
          <w:sz w:val="22"/>
          <w:szCs w:val="22"/>
        </w:rPr>
      </w:pPr>
    </w:p>
    <w:p w:rsidR="00527AD0" w:rsidRDefault="00BF288C" w:rsidP="00BF288C">
      <w:pPr>
        <w:pStyle w:val="BodyText"/>
        <w:rPr>
          <w:b w:val="0"/>
          <w:sz w:val="22"/>
          <w:szCs w:val="22"/>
        </w:rPr>
      </w:pPr>
      <w:r>
        <w:rPr>
          <w:b w:val="0"/>
          <w:sz w:val="22"/>
          <w:szCs w:val="22"/>
        </w:rPr>
        <w:t>T</w:t>
      </w:r>
      <w:r w:rsidRPr="00BF288C">
        <w:rPr>
          <w:b w:val="0"/>
          <w:sz w:val="22"/>
          <w:szCs w:val="22"/>
        </w:rPr>
        <w:t xml:space="preserve">he </w:t>
      </w:r>
      <w:r>
        <w:rPr>
          <w:b w:val="0"/>
          <w:sz w:val="22"/>
          <w:szCs w:val="22"/>
        </w:rPr>
        <w:t>complainant</w:t>
      </w:r>
      <w:r w:rsidRPr="00BF288C">
        <w:rPr>
          <w:b w:val="0"/>
          <w:sz w:val="22"/>
          <w:szCs w:val="22"/>
        </w:rPr>
        <w:t xml:space="preserve"> may appeal the decision of the ADA Compliance Officer by resubmitting the complaint form, within 15 days of receiving the Compliance Officer’s decision, to the ADA Coordinator/Vice President for Student Life, for a final review. In this case, the student must present in writing the reasons for this final appeal outlining issues of the ADA Compliance Officer acting arbitrarily, capriciously, or in bad faith. The ADA </w:t>
      </w:r>
      <w:r>
        <w:rPr>
          <w:b w:val="0"/>
          <w:sz w:val="22"/>
          <w:szCs w:val="22"/>
        </w:rPr>
        <w:t>Coordinator</w:t>
      </w:r>
      <w:r w:rsidRPr="00BF288C">
        <w:rPr>
          <w:b w:val="0"/>
          <w:sz w:val="22"/>
          <w:szCs w:val="22"/>
        </w:rPr>
        <w:t>/Vice President for Student Life will issue a final, written decision within 30 days of this new filing.</w:t>
      </w:r>
      <w:r w:rsidR="00637B23">
        <w:rPr>
          <w:b w:val="0"/>
          <w:sz w:val="22"/>
          <w:szCs w:val="22"/>
        </w:rPr>
        <w:t xml:space="preserve"> (see full policy: </w:t>
      </w:r>
      <w:hyperlink r:id="rId8" w:history="1">
        <w:r w:rsidR="00637B23" w:rsidRPr="00472899">
          <w:rPr>
            <w:rStyle w:val="Hyperlink"/>
            <w:b w:val="0"/>
            <w:sz w:val="22"/>
            <w:szCs w:val="22"/>
          </w:rPr>
          <w:t>https://www2.winthrop.edu/public/policy/fullpolicy.aspx?pid=268</w:t>
        </w:r>
      </w:hyperlink>
      <w:r w:rsidR="00637B23">
        <w:rPr>
          <w:b w:val="0"/>
          <w:sz w:val="22"/>
          <w:szCs w:val="22"/>
        </w:rPr>
        <w:t xml:space="preserve">) </w:t>
      </w:r>
    </w:p>
    <w:p w:rsidR="00637B23" w:rsidRDefault="00637B23" w:rsidP="00BF288C">
      <w:pPr>
        <w:pStyle w:val="BodyText"/>
        <w:rPr>
          <w:b w:val="0"/>
          <w:sz w:val="22"/>
          <w:szCs w:val="22"/>
        </w:rPr>
      </w:pPr>
    </w:p>
    <w:p w:rsidR="00637B23" w:rsidRPr="00BF288C" w:rsidRDefault="00637B23" w:rsidP="00BF288C">
      <w:pPr>
        <w:pStyle w:val="BodyText"/>
        <w:rPr>
          <w:b w:val="0"/>
          <w:bCs w:val="0"/>
          <w:sz w:val="22"/>
          <w:szCs w:val="22"/>
        </w:rPr>
      </w:pPr>
      <w:r>
        <w:rPr>
          <w:b w:val="0"/>
          <w:sz w:val="22"/>
          <w:szCs w:val="22"/>
        </w:rPr>
        <w:t>Respectfully,</w:t>
      </w:r>
    </w:p>
    <w:p w:rsidR="002A05CF" w:rsidRDefault="002A05CF" w:rsidP="002A05CF">
      <w:pPr>
        <w:rPr>
          <w:rFonts w:ascii="Rage Italic" w:eastAsia="Calibri" w:hAnsi="Rage Italic"/>
          <w:noProof/>
          <w:color w:val="1F497D"/>
          <w:sz w:val="36"/>
          <w:szCs w:val="36"/>
        </w:rPr>
      </w:pPr>
      <w:r>
        <w:rPr>
          <w:rFonts w:ascii="Rage Italic" w:eastAsia="Calibri" w:hAnsi="Rage Italic"/>
          <w:noProof/>
          <w:color w:val="1F497D"/>
          <w:sz w:val="36"/>
          <w:szCs w:val="36"/>
        </w:rPr>
        <w:t>Tina</w:t>
      </w:r>
      <w:r w:rsidR="00F00F48">
        <w:rPr>
          <w:rFonts w:ascii="Rage Italic" w:eastAsia="Calibri" w:hAnsi="Rage Italic"/>
          <w:noProof/>
          <w:color w:val="1F497D"/>
          <w:sz w:val="36"/>
          <w:szCs w:val="36"/>
        </w:rPr>
        <w:t xml:space="preserve"> Vires</w:t>
      </w:r>
    </w:p>
    <w:p w:rsidR="002A05CF" w:rsidRDefault="002A05CF" w:rsidP="002A05CF">
      <w:pPr>
        <w:rPr>
          <w:rFonts w:ascii="Verdana" w:eastAsia="Calibri" w:hAnsi="Verdana"/>
          <w:b/>
          <w:bCs/>
          <w:noProof/>
          <w:color w:val="991B32"/>
          <w:sz w:val="18"/>
          <w:szCs w:val="18"/>
        </w:rPr>
      </w:pPr>
      <w:r>
        <w:rPr>
          <w:rFonts w:ascii="Verdana" w:eastAsia="Calibri" w:hAnsi="Verdana"/>
          <w:b/>
          <w:bCs/>
          <w:noProof/>
          <w:color w:val="991B32"/>
          <w:sz w:val="18"/>
          <w:szCs w:val="18"/>
        </w:rPr>
        <w:t xml:space="preserve">Tina E. Vires, M.Ed. </w:t>
      </w:r>
    </w:p>
    <w:p w:rsidR="002A05CF" w:rsidRDefault="002A05CF" w:rsidP="002A05CF">
      <w:pPr>
        <w:rPr>
          <w:rFonts w:ascii="Verdana" w:eastAsia="Calibri" w:hAnsi="Verdana"/>
          <w:i/>
          <w:iCs/>
          <w:noProof/>
          <w:color w:val="991B32"/>
          <w:sz w:val="18"/>
          <w:szCs w:val="18"/>
        </w:rPr>
      </w:pPr>
      <w:r>
        <w:rPr>
          <w:rFonts w:ascii="Verdana" w:eastAsia="Calibri" w:hAnsi="Verdana"/>
          <w:i/>
          <w:iCs/>
          <w:noProof/>
          <w:color w:val="991B32"/>
          <w:sz w:val="18"/>
          <w:szCs w:val="18"/>
        </w:rPr>
        <w:t>ADA Compliance Officer</w:t>
      </w:r>
    </w:p>
    <w:sectPr w:rsidR="002A05CF" w:rsidSect="00637B23">
      <w:headerReference w:type="default" r:id="rId9"/>
      <w:footerReference w:type="default" r:id="rId10"/>
      <w:pgSz w:w="12240" w:h="15840"/>
      <w:pgMar w:top="1080" w:right="1440" w:bottom="1080" w:left="1440" w:header="274"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028" w:rsidRDefault="009E2028" w:rsidP="00F414F8">
      <w:r>
        <w:separator/>
      </w:r>
    </w:p>
  </w:endnote>
  <w:endnote w:type="continuationSeparator" w:id="0">
    <w:p w:rsidR="009E2028" w:rsidRDefault="009E2028" w:rsidP="00F4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4F3" w:rsidRDefault="001C14F3" w:rsidP="001C14F3">
    <w:pPr>
      <w:jc w:val="center"/>
      <w:rPr>
        <w:sz w:val="20"/>
      </w:rPr>
    </w:pPr>
    <w:r>
      <w:rPr>
        <w:sz w:val="20"/>
      </w:rPr>
      <w:t>Health • Counseling • Victims Services • Wellness • 803/323-2206 • Fax 803/323-3302</w:t>
    </w:r>
  </w:p>
  <w:p w:rsidR="001C14F3" w:rsidRDefault="001C14F3" w:rsidP="001C14F3">
    <w:pPr>
      <w:jc w:val="center"/>
      <w:rPr>
        <w:sz w:val="20"/>
      </w:rPr>
    </w:pPr>
    <w:r>
      <w:rPr>
        <w:sz w:val="20"/>
      </w:rPr>
      <w:t>Accessibility • Testing Program • 803/323-3290 • Fax 803/323-4585</w:t>
    </w:r>
  </w:p>
  <w:p w:rsidR="00F414F8" w:rsidRDefault="001C14F3" w:rsidP="001C14F3">
    <w:pPr>
      <w:pStyle w:val="Footer"/>
      <w:jc w:val="center"/>
    </w:pPr>
    <w:r>
      <w:rPr>
        <w:sz w:val="20"/>
      </w:rPr>
      <w:t>Crawford Building • Rock Hill, South Carolina 29733</w:t>
    </w:r>
  </w:p>
  <w:p w:rsidR="00F414F8" w:rsidRDefault="00F41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028" w:rsidRDefault="009E2028" w:rsidP="00F414F8">
      <w:r>
        <w:separator/>
      </w:r>
    </w:p>
  </w:footnote>
  <w:footnote w:type="continuationSeparator" w:id="0">
    <w:p w:rsidR="009E2028" w:rsidRDefault="009E2028" w:rsidP="00F41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4F8" w:rsidRDefault="00F414F8">
    <w:pPr>
      <w:pStyle w:val="Header"/>
    </w:pPr>
  </w:p>
  <w:p w:rsidR="00F414F8" w:rsidRDefault="00F414F8">
    <w:pPr>
      <w:pStyle w:val="Header"/>
    </w:pPr>
    <w:r>
      <w:rPr>
        <w:noProof/>
      </w:rPr>
      <w:drawing>
        <wp:inline distT="0" distB="0" distL="0" distR="0" wp14:anchorId="4C71F9B3" wp14:editId="4B8521CB">
          <wp:extent cx="6779260" cy="1426845"/>
          <wp:effectExtent l="0" t="0" r="254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9260" cy="14268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766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BEB7F06"/>
    <w:multiLevelType w:val="hybridMultilevel"/>
    <w:tmpl w:val="C6948F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913271"/>
    <w:multiLevelType w:val="hybridMultilevel"/>
    <w:tmpl w:val="26087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732DC7"/>
    <w:multiLevelType w:val="hybridMultilevel"/>
    <w:tmpl w:val="0E728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BA8"/>
    <w:rsid w:val="00002A0D"/>
    <w:rsid w:val="00030FAD"/>
    <w:rsid w:val="00047B24"/>
    <w:rsid w:val="00063C02"/>
    <w:rsid w:val="00105250"/>
    <w:rsid w:val="00112821"/>
    <w:rsid w:val="0012144F"/>
    <w:rsid w:val="00133CC8"/>
    <w:rsid w:val="00177483"/>
    <w:rsid w:val="00187B6B"/>
    <w:rsid w:val="001A0C75"/>
    <w:rsid w:val="001C14F3"/>
    <w:rsid w:val="001C3BA8"/>
    <w:rsid w:val="001C778D"/>
    <w:rsid w:val="001E186B"/>
    <w:rsid w:val="00233702"/>
    <w:rsid w:val="002415FB"/>
    <w:rsid w:val="00261DFB"/>
    <w:rsid w:val="00296268"/>
    <w:rsid w:val="002A05CF"/>
    <w:rsid w:val="002B3218"/>
    <w:rsid w:val="002C3535"/>
    <w:rsid w:val="002E64D6"/>
    <w:rsid w:val="00305496"/>
    <w:rsid w:val="00327648"/>
    <w:rsid w:val="003660A9"/>
    <w:rsid w:val="00391EF0"/>
    <w:rsid w:val="003B7BBC"/>
    <w:rsid w:val="003C080D"/>
    <w:rsid w:val="003D0DE1"/>
    <w:rsid w:val="00490567"/>
    <w:rsid w:val="004F17CB"/>
    <w:rsid w:val="0050201C"/>
    <w:rsid w:val="00527AD0"/>
    <w:rsid w:val="005A3DA7"/>
    <w:rsid w:val="005E1C27"/>
    <w:rsid w:val="00601F43"/>
    <w:rsid w:val="00605AF1"/>
    <w:rsid w:val="00615B46"/>
    <w:rsid w:val="00621E27"/>
    <w:rsid w:val="00637B23"/>
    <w:rsid w:val="00670578"/>
    <w:rsid w:val="006C77AE"/>
    <w:rsid w:val="006E3BDB"/>
    <w:rsid w:val="00765FA7"/>
    <w:rsid w:val="007C59C4"/>
    <w:rsid w:val="00844B50"/>
    <w:rsid w:val="008452E3"/>
    <w:rsid w:val="008463B6"/>
    <w:rsid w:val="008A22D8"/>
    <w:rsid w:val="008B48D7"/>
    <w:rsid w:val="008E44A0"/>
    <w:rsid w:val="00942928"/>
    <w:rsid w:val="00954B6D"/>
    <w:rsid w:val="00987300"/>
    <w:rsid w:val="009934CB"/>
    <w:rsid w:val="009A2BF5"/>
    <w:rsid w:val="009C7FF8"/>
    <w:rsid w:val="009D3F43"/>
    <w:rsid w:val="009E2028"/>
    <w:rsid w:val="00A03D00"/>
    <w:rsid w:val="00A971E6"/>
    <w:rsid w:val="00AA4172"/>
    <w:rsid w:val="00AD2518"/>
    <w:rsid w:val="00AD6B3D"/>
    <w:rsid w:val="00B4779C"/>
    <w:rsid w:val="00B669BE"/>
    <w:rsid w:val="00B9289F"/>
    <w:rsid w:val="00B92AB3"/>
    <w:rsid w:val="00BB13F7"/>
    <w:rsid w:val="00BF288C"/>
    <w:rsid w:val="00C71476"/>
    <w:rsid w:val="00CD04AF"/>
    <w:rsid w:val="00D806CE"/>
    <w:rsid w:val="00DC13E5"/>
    <w:rsid w:val="00DD755E"/>
    <w:rsid w:val="00E470DD"/>
    <w:rsid w:val="00E6513D"/>
    <w:rsid w:val="00E867A5"/>
    <w:rsid w:val="00E94CC3"/>
    <w:rsid w:val="00E97881"/>
    <w:rsid w:val="00EC237F"/>
    <w:rsid w:val="00EE7E50"/>
    <w:rsid w:val="00F00F48"/>
    <w:rsid w:val="00F11235"/>
    <w:rsid w:val="00F36BDE"/>
    <w:rsid w:val="00F400B5"/>
    <w:rsid w:val="00F414F8"/>
    <w:rsid w:val="00F45DB5"/>
    <w:rsid w:val="00F55291"/>
    <w:rsid w:val="00F57B70"/>
    <w:rsid w:val="00F9549C"/>
    <w:rsid w:val="00FC6034"/>
    <w:rsid w:val="00FC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56596C-6A40-471B-8C27-5E957C71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DF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61DF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3F43"/>
    <w:pPr>
      <w:spacing w:after="0" w:line="240" w:lineRule="auto"/>
    </w:pPr>
  </w:style>
  <w:style w:type="paragraph" w:styleId="BalloonText">
    <w:name w:val="Balloon Text"/>
    <w:basedOn w:val="Normal"/>
    <w:link w:val="BalloonTextChar"/>
    <w:uiPriority w:val="99"/>
    <w:semiHidden/>
    <w:unhideWhenUsed/>
    <w:rsid w:val="001C3BA8"/>
    <w:rPr>
      <w:rFonts w:ascii="Tahoma" w:hAnsi="Tahoma" w:cs="Tahoma"/>
      <w:sz w:val="16"/>
      <w:szCs w:val="16"/>
    </w:rPr>
  </w:style>
  <w:style w:type="character" w:customStyle="1" w:styleId="BalloonTextChar">
    <w:name w:val="Balloon Text Char"/>
    <w:basedOn w:val="DefaultParagraphFont"/>
    <w:link w:val="BalloonText"/>
    <w:uiPriority w:val="99"/>
    <w:semiHidden/>
    <w:rsid w:val="001C3BA8"/>
    <w:rPr>
      <w:rFonts w:ascii="Tahoma" w:hAnsi="Tahoma" w:cs="Tahoma"/>
      <w:sz w:val="16"/>
      <w:szCs w:val="16"/>
    </w:rPr>
  </w:style>
  <w:style w:type="paragraph" w:styleId="Header">
    <w:name w:val="header"/>
    <w:basedOn w:val="Normal"/>
    <w:link w:val="HeaderChar"/>
    <w:uiPriority w:val="99"/>
    <w:unhideWhenUsed/>
    <w:rsid w:val="00F414F8"/>
    <w:pPr>
      <w:tabs>
        <w:tab w:val="center" w:pos="4680"/>
        <w:tab w:val="right" w:pos="9360"/>
      </w:tabs>
    </w:pPr>
  </w:style>
  <w:style w:type="character" w:customStyle="1" w:styleId="HeaderChar">
    <w:name w:val="Header Char"/>
    <w:basedOn w:val="DefaultParagraphFont"/>
    <w:link w:val="Header"/>
    <w:uiPriority w:val="99"/>
    <w:rsid w:val="00F414F8"/>
  </w:style>
  <w:style w:type="paragraph" w:styleId="Footer">
    <w:name w:val="footer"/>
    <w:basedOn w:val="Normal"/>
    <w:link w:val="FooterChar"/>
    <w:uiPriority w:val="99"/>
    <w:unhideWhenUsed/>
    <w:rsid w:val="00F414F8"/>
    <w:pPr>
      <w:tabs>
        <w:tab w:val="center" w:pos="4680"/>
        <w:tab w:val="right" w:pos="9360"/>
      </w:tabs>
    </w:pPr>
  </w:style>
  <w:style w:type="character" w:customStyle="1" w:styleId="FooterChar">
    <w:name w:val="Footer Char"/>
    <w:basedOn w:val="DefaultParagraphFont"/>
    <w:link w:val="Footer"/>
    <w:uiPriority w:val="99"/>
    <w:rsid w:val="00F414F8"/>
  </w:style>
  <w:style w:type="character" w:customStyle="1" w:styleId="Heading1Char">
    <w:name w:val="Heading 1 Char"/>
    <w:basedOn w:val="DefaultParagraphFont"/>
    <w:link w:val="Heading1"/>
    <w:rsid w:val="00261DFB"/>
    <w:rPr>
      <w:rFonts w:ascii="Times New Roman" w:eastAsia="Times New Roman" w:hAnsi="Times New Roman" w:cs="Times New Roman"/>
      <w:b/>
      <w:sz w:val="24"/>
      <w:szCs w:val="20"/>
    </w:rPr>
  </w:style>
  <w:style w:type="paragraph" w:styleId="Title">
    <w:name w:val="Title"/>
    <w:basedOn w:val="Normal"/>
    <w:link w:val="TitleChar"/>
    <w:qFormat/>
    <w:rsid w:val="00261DFB"/>
    <w:pPr>
      <w:jc w:val="center"/>
    </w:pPr>
    <w:rPr>
      <w:b/>
      <w:sz w:val="28"/>
    </w:rPr>
  </w:style>
  <w:style w:type="character" w:customStyle="1" w:styleId="TitleChar">
    <w:name w:val="Title Char"/>
    <w:basedOn w:val="DefaultParagraphFont"/>
    <w:link w:val="Title"/>
    <w:rsid w:val="00261DFB"/>
    <w:rPr>
      <w:rFonts w:ascii="Times New Roman" w:eastAsia="Times New Roman" w:hAnsi="Times New Roman" w:cs="Times New Roman"/>
      <w:b/>
      <w:sz w:val="28"/>
      <w:szCs w:val="20"/>
    </w:rPr>
  </w:style>
  <w:style w:type="paragraph" w:styleId="BodyText">
    <w:name w:val="Body Text"/>
    <w:basedOn w:val="Normal"/>
    <w:link w:val="BodyTextChar"/>
    <w:rsid w:val="00261DFB"/>
    <w:rPr>
      <w:b/>
      <w:bCs/>
      <w:sz w:val="28"/>
    </w:rPr>
  </w:style>
  <w:style w:type="character" w:customStyle="1" w:styleId="BodyTextChar">
    <w:name w:val="Body Text Char"/>
    <w:basedOn w:val="DefaultParagraphFont"/>
    <w:link w:val="BodyText"/>
    <w:rsid w:val="00261DFB"/>
    <w:rPr>
      <w:rFonts w:ascii="Times New Roman" w:eastAsia="Times New Roman" w:hAnsi="Times New Roman" w:cs="Times New Roman"/>
      <w:b/>
      <w:bCs/>
      <w:sz w:val="28"/>
      <w:szCs w:val="20"/>
    </w:rPr>
  </w:style>
  <w:style w:type="paragraph" w:styleId="ListParagraph">
    <w:name w:val="List Paragraph"/>
    <w:basedOn w:val="Normal"/>
    <w:uiPriority w:val="34"/>
    <w:qFormat/>
    <w:rsid w:val="00621E27"/>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637B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448251">
      <w:bodyDiv w:val="1"/>
      <w:marLeft w:val="0"/>
      <w:marRight w:val="0"/>
      <w:marTop w:val="0"/>
      <w:marBottom w:val="0"/>
      <w:divBdr>
        <w:top w:val="none" w:sz="0" w:space="0" w:color="auto"/>
        <w:left w:val="none" w:sz="0" w:space="0" w:color="auto"/>
        <w:bottom w:val="none" w:sz="0" w:space="0" w:color="auto"/>
        <w:right w:val="none" w:sz="0" w:space="0" w:color="auto"/>
      </w:divBdr>
    </w:div>
    <w:div w:id="1430272386">
      <w:bodyDiv w:val="1"/>
      <w:marLeft w:val="0"/>
      <w:marRight w:val="0"/>
      <w:marTop w:val="0"/>
      <w:marBottom w:val="0"/>
      <w:divBdr>
        <w:top w:val="none" w:sz="0" w:space="0" w:color="auto"/>
        <w:left w:val="none" w:sz="0" w:space="0" w:color="auto"/>
        <w:bottom w:val="none" w:sz="0" w:space="0" w:color="auto"/>
        <w:right w:val="none" w:sz="0" w:space="0" w:color="auto"/>
      </w:divBdr>
    </w:div>
    <w:div w:id="205233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winthrop.edu/public/policy/fullpolicy.aspx?pid=26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AD0D4-DA63-4DA6-84A6-C980C3F5A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Pompeo, Alyson</dc:creator>
  <cp:lastModifiedBy>Vires, Tina</cp:lastModifiedBy>
  <cp:revision>2</cp:revision>
  <cp:lastPrinted>2016-06-22T18:37:00Z</cp:lastPrinted>
  <dcterms:created xsi:type="dcterms:W3CDTF">2017-07-16T13:26:00Z</dcterms:created>
  <dcterms:modified xsi:type="dcterms:W3CDTF">2017-07-16T13:26:00Z</dcterms:modified>
</cp:coreProperties>
</file>